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jc w:val="start"/>
        <w:rPr/>
      </w:pPr>
      <w:hyperlink r:id="rId2">
        <w:r>
          <w:rPr>
            <w:rStyle w:val="Hyperlink"/>
          </w:rPr>
          <w:t>Wield</w:t>
        </w:r>
      </w:hyperlink>
      <w:r>
        <w:rPr/>
        <w:t xml:space="preserve"> </w:t>
      </w:r>
      <w:hyperlink r:id="rId3">
        <w:r>
          <w:rPr>
            <w:rStyle w:val="Hyperlink"/>
          </w:rPr>
          <w:t>← Back to privacy policy</w:t>
        </w:r>
      </w:hyperlink>
      <w:r>
        <w:rPr/>
        <w:t xml:space="preserve"> </w:t>
      </w:r>
    </w:p>
    <w:p>
      <w:pPr>
        <w:pStyle w:val="BodyText"/>
        <w:bidi w:val="0"/>
        <w:ind w:hanging="0" w:start="0" w:end="0"/>
        <w:jc w:val="start"/>
        <w:rPr/>
      </w:pPr>
      <w:hyperlink r:id="rId4">
        <w:r>
          <w:rPr>
            <w:rStyle w:val="Hyperlink"/>
          </w:rPr>
          <w:t>Deutsch</w:t>
        </w:r>
      </w:hyperlink>
      <w:r>
        <w:rPr/>
        <w:t xml:space="preserve"> · </w:t>
      </w:r>
      <w:r>
        <w:rPr>
          <w:lang w:val="en-US"/>
        </w:rPr>
        <w:t>English</w:t>
      </w:r>
      <w:r>
        <w:rPr/>
        <w:t xml:space="preserve"> </w:t>
      </w:r>
    </w:p>
    <w:p>
      <w:pPr>
        <w:pStyle w:val="Heading1"/>
        <w:bidi w:val="0"/>
        <w:jc w:val="start"/>
        <w:rPr/>
      </w:pPr>
      <w:r>
        <w:rPr/>
        <w:t>Data Processing Agreement (DPA)</w:t>
      </w:r>
    </w:p>
    <w:p>
      <w:pPr>
        <w:pStyle w:val="BodyText"/>
        <w:bidi w:val="0"/>
        <w:jc w:val="start"/>
        <w:rPr/>
      </w:pPr>
      <w:r>
        <w:rPr/>
        <w:t>Template — Updated: 29 April 2026 · Version v1-2026-04</w:t>
      </w:r>
    </w:p>
    <w:p>
      <w:pPr>
        <w:pStyle w:val="BodyText"/>
        <w:bidi w:val="0"/>
        <w:jc w:val="start"/>
        <w:rPr/>
      </w:pPr>
      <w:r>
        <w:rPr/>
        <w:t xml:space="preserve">This Data Processing Agreement (the </w:t>
      </w:r>
      <w:r>
        <w:rPr>
          <w:rStyle w:val="Strong"/>
        </w:rPr>
        <w:t>"DPA"</w:t>
      </w:r>
      <w:r>
        <w:rPr/>
        <w:t xml:space="preserve">) governs the processing of personal data by TecMinds GmbH (the </w:t>
      </w:r>
      <w:r>
        <w:rPr>
          <w:rStyle w:val="Strong"/>
        </w:rPr>
        <w:t>"Processor"</w:t>
      </w:r>
      <w:r>
        <w:rPr/>
        <w:t xml:space="preserve">) on behalf of the customer (the </w:t>
      </w:r>
      <w:r>
        <w:rPr>
          <w:rStyle w:val="Strong"/>
        </w:rPr>
        <w:t>"Controller"</w:t>
      </w:r>
      <w:r>
        <w:rPr/>
        <w:t xml:space="preserve">) within the Wield platform. It supplements the main contract and takes effect on its signing. Available as editable </w:t>
      </w:r>
      <w:hyperlink r:id="rId5">
        <w:r>
          <w:rPr>
            <w:rStyle w:val="Hyperlink"/>
          </w:rPr>
          <w:t>DOCX</w:t>
        </w:r>
      </w:hyperlink>
      <w:r>
        <w:rPr/>
        <w:t xml:space="preserve"> or </w:t>
      </w:r>
      <w:hyperlink r:id="rId6">
        <w:r>
          <w:rPr>
            <w:rStyle w:val="Hyperlink"/>
          </w:rPr>
          <w:t>PDF</w:t>
        </w:r>
      </w:hyperlink>
      <w:r>
        <w:rPr/>
        <w:t xml:space="preserve">. </w:t>
      </w:r>
    </w:p>
    <w:p>
      <w:pPr>
        <w:pStyle w:val="Heading2"/>
        <w:bidi w:val="0"/>
        <w:jc w:val="start"/>
        <w:rPr/>
      </w:pPr>
      <w:r>
        <w:rPr/>
        <w:t>1. Parties and roles</w:t>
      </w:r>
    </w:p>
    <w:p>
      <w:pPr>
        <w:pStyle w:val="BodyText"/>
        <w:bidi w:val="0"/>
        <w:jc w:val="start"/>
        <w:rPr/>
      </w:pPr>
      <w:r>
        <w:rPr>
          <w:rStyle w:val="Strong"/>
        </w:rPr>
        <w:t>Controller:</w:t>
      </w:r>
      <w:r>
        <w:rPr/>
        <w:t xml:space="preserve"> the customer named in the main contract (within the meaning of GDPR Art. 4(7) / FADP Art. 5(j)).</w:t>
        <w:br/>
      </w:r>
      <w:r>
        <w:rPr>
          <w:rStyle w:val="Strong"/>
        </w:rPr>
        <w:t>Processor:</w:t>
      </w:r>
      <w:r>
        <w:rPr/>
        <w:t xml:space="preserve"> TecMinds GmbH, Neustadtstrasse 8a, 6003 Lucerne, Switzerland, UID CHE-334.650.060 (within the meaning of GDPR Art. 4(8) / FADP Art. 5(k)). </w:t>
      </w:r>
    </w:p>
    <w:p>
      <w:pPr>
        <w:pStyle w:val="Heading2"/>
        <w:bidi w:val="0"/>
        <w:jc w:val="start"/>
        <w:rPr/>
      </w:pPr>
      <w:r>
        <w:rPr/>
        <w:t>2. Subject and purpose</w:t>
      </w:r>
    </w:p>
    <w:p>
      <w:pPr>
        <w:pStyle w:val="BodyText"/>
        <w:bidi w:val="0"/>
        <w:jc w:val="start"/>
        <w:rPr/>
      </w:pPr>
      <w:r>
        <w:rPr/>
        <w:t xml:space="preserve">The Processor provides the Wield SaaS platform to the Controller. Processing covers: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Extraction of structured profiles from uploaded application documents (CVs, references);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Generation of candidate dossiers, evaluations and briefings;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Matching of candidates against job descriptions and requirement profiles;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Communication and workflow features (interviews, notes, share-links). </w:t>
      </w:r>
    </w:p>
    <w:p>
      <w:pPr>
        <w:pStyle w:val="Heading2"/>
        <w:bidi w:val="0"/>
        <w:jc w:val="start"/>
        <w:rPr/>
      </w:pPr>
      <w:r>
        <w:rPr/>
        <w:t>3. Data categories and data subjects</w:t>
      </w:r>
    </w:p>
    <w:p>
      <w:pPr>
        <w:pStyle w:val="BodyText"/>
        <w:bidi w:val="0"/>
        <w:jc w:val="start"/>
        <w:rPr/>
      </w:pPr>
      <w:r>
        <w:rPr>
          <w:rStyle w:val="Strong"/>
        </w:rPr>
        <w:t>Data categories:</w:t>
      </w:r>
      <w:r>
        <w:rPr/>
        <w:t xml:space="preserve"> identity data (name, contact details), CVs, employment and education history, languages, qualifications, optionally photo, evaluations, notes, references. Special categories of personal data (GDPR Art. 9 / FADP Art. 5(c)) are excluded unless the Controller signs a separate written agreement. </w:t>
      </w:r>
    </w:p>
    <w:p>
      <w:pPr>
        <w:pStyle w:val="BodyText"/>
        <w:bidi w:val="0"/>
        <w:jc w:val="start"/>
        <w:rPr/>
      </w:pPr>
      <w:r>
        <w:rPr>
          <w:rStyle w:val="Strong"/>
        </w:rPr>
        <w:t>Data subjects:</w:t>
      </w:r>
      <w:r>
        <w:rPr/>
        <w:t xml:space="preserve"> applicants and employees whose data the Controller processes during recruitment. </w:t>
      </w:r>
    </w:p>
    <w:p>
      <w:pPr>
        <w:pStyle w:val="Heading2"/>
        <w:bidi w:val="0"/>
        <w:jc w:val="start"/>
        <w:rPr/>
      </w:pPr>
      <w:r>
        <w:rPr/>
        <w:t>4. Processor obligations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Process data only on documented Controller instructions, in particular within the scope of the main contract and Wield's product features.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Bind every person processing data to confidentiality and provide data-protection training.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Implement appropriate technical and organisational measures (TOMs) per Annex B.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Assist the Controller in responding to data-subject requests (access, rectification, erasure, restriction, portability, objection).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Assist with data-protection impact assessments (GDPR Art. 35) and prior consultation with the supervisory authority (GDPR Art. 36).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Notify the Controller of any data breach without undue delay, and at the latest within </w:t>
      </w:r>
      <w:r>
        <w:rPr>
          <w:rStyle w:val="Strong"/>
        </w:rPr>
        <w:t>72 hours</w:t>
      </w:r>
      <w:r>
        <w:rPr/>
        <w:t xml:space="preserve"> of becoming aware, providing all information required for a regulator filing. </w:t>
      </w:r>
    </w:p>
    <w:p>
      <w:pPr>
        <w:pStyle w:val="Heading2"/>
        <w:bidi w:val="0"/>
        <w:jc w:val="start"/>
        <w:rPr/>
      </w:pPr>
      <w:r>
        <w:rPr/>
        <w:t>5. Sub-processors</w:t>
      </w:r>
    </w:p>
    <w:p>
      <w:pPr>
        <w:pStyle w:val="BodyText"/>
        <w:bidi w:val="0"/>
        <w:jc w:val="start"/>
        <w:rPr/>
      </w:pPr>
      <w:r>
        <w:rPr/>
        <w:t xml:space="preserve">The Processor may engage further processors. The Controller consents to the sub-processors listed in </w:t>
      </w:r>
      <w:hyperlink w:anchor="annex-a">
        <w:r>
          <w:rPr>
            <w:rStyle w:val="Hyperlink"/>
          </w:rPr>
          <w:t>Annex A</w:t>
        </w:r>
      </w:hyperlink>
      <w:r>
        <w:rPr/>
        <w:t xml:space="preserve">. Changes or additions are notified with 30 days' lead time; the Controller may object on important data-protection grounds. </w:t>
      </w:r>
    </w:p>
    <w:p>
      <w:pPr>
        <w:pStyle w:val="Heading2"/>
        <w:bidi w:val="0"/>
        <w:jc w:val="start"/>
        <w:rPr/>
      </w:pPr>
      <w:r>
        <w:rPr/>
        <w:t>6. Data location and third-country transfers</w:t>
      </w:r>
    </w:p>
    <w:p>
      <w:pPr>
        <w:pStyle w:val="BodyText"/>
        <w:bidi w:val="0"/>
        <w:jc w:val="start"/>
        <w:rPr/>
      </w:pPr>
      <w:r>
        <w:rPr/>
        <w:t xml:space="preserve">Customer and candidate data are stored primarily in Switzerland (hosting with Infomaniak, Geneva; PostgreSQL database with Infomaniak). LLM inference and embeddings run within the EU/EEA (Google Vertex AI, Frankfurt and Zurich). Third-country transfers happen only on the basis of EU Standard Contractual Clauses (SCC) or an adequacy decision, with supplementary technical measures (encryption in transit and, where applicable, at rest). </w:t>
      </w:r>
    </w:p>
    <w:p>
      <w:pPr>
        <w:pStyle w:val="Heading2"/>
        <w:bidi w:val="0"/>
        <w:jc w:val="start"/>
        <w:rPr/>
      </w:pPr>
      <w:r>
        <w:rPr/>
        <w:t>7. Retention and deletion</w:t>
      </w:r>
    </w:p>
    <w:p>
      <w:pPr>
        <w:pStyle w:val="BodyText"/>
        <w:bidi w:val="0"/>
        <w:jc w:val="start"/>
        <w:rPr/>
      </w:pPr>
      <w:r>
        <w:rPr/>
        <w:t xml:space="preserve">Candidate data are automatically deleted 180 days after the last activity. The Controller may request earlier deletion at any time. On contract termination, all Controller-processed data are deleted within 30 days or, on request, returned in a structured, common format. </w:t>
      </w:r>
    </w:p>
    <w:p>
      <w:pPr>
        <w:pStyle w:val="Heading2"/>
        <w:bidi w:val="0"/>
        <w:jc w:val="start"/>
        <w:rPr/>
      </w:pPr>
      <w:r>
        <w:rPr/>
        <w:t>8. Audit rights</w:t>
      </w:r>
    </w:p>
    <w:p>
      <w:pPr>
        <w:pStyle w:val="BodyText"/>
        <w:bidi w:val="0"/>
        <w:jc w:val="start"/>
        <w:rPr/>
      </w:pPr>
      <w:r>
        <w:rPr/>
        <w:t xml:space="preserve">The Controller may verify compliance with this DPA once per year and on cause (in particular after a data breach), preferably by reviewing current security certifications, penetration-test reports and a Processor self-assessment. On-site audits are possible with 14 days' notice; the requesting party bears the cost. </w:t>
      </w:r>
    </w:p>
    <w:p>
      <w:pPr>
        <w:pStyle w:val="Heading2"/>
        <w:bidi w:val="0"/>
        <w:jc w:val="start"/>
        <w:rPr/>
      </w:pPr>
      <w:r>
        <w:rPr/>
        <w:t>9. Liability and final provisions</w:t>
      </w:r>
    </w:p>
    <w:p>
      <w:pPr>
        <w:pStyle w:val="BodyText"/>
        <w:bidi w:val="0"/>
        <w:jc w:val="start"/>
        <w:rPr/>
      </w:pPr>
      <w:r>
        <w:rPr/>
        <w:t xml:space="preserve">The liability regime agreed in the main contract applies. In conflicts between this DPA and the main contract, this DPA prevails on data-protection matters. Governing law: Swiss law; venue: Lucerne, except as overridden by mandatory law. </w:t>
      </w:r>
    </w:p>
    <w:p>
      <w:pPr>
        <w:pStyle w:val="Heading2"/>
        <w:bidi w:val="0"/>
        <w:ind w:hanging="0" w:start="0" w:end="0"/>
        <w:jc w:val="start"/>
        <w:rPr/>
      </w:pPr>
      <w:bookmarkStart w:id="0" w:name="annex-a"/>
      <w:bookmarkEnd w:id="0"/>
      <w:r>
        <w:rPr/>
        <w:t>Annex A — sub-processor list</w:t>
      </w:r>
    </w:p>
    <w:tbl>
      <w:tblPr>
        <w:tblW w:w="848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718"/>
        <w:gridCol w:w="2922"/>
        <w:gridCol w:w="2848"/>
      </w:tblGrid>
      <w:tr>
        <w:trPr>
          <w:tblHeader w:val="true"/>
        </w:trPr>
        <w:tc>
          <w:tcPr>
            <w:tcW w:w="271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Provider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Purpose</w:t>
            </w:r>
          </w:p>
        </w:tc>
        <w:tc>
          <w:tcPr>
            <w:tcW w:w="284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Location</w:t>
            </w:r>
          </w:p>
        </w:tc>
      </w:tr>
      <w:tr>
        <w:trPr/>
        <w:tc>
          <w:tcPr>
            <w:tcW w:w="271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Infomaniak (CH)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Hosting, PostgreSQL</w:t>
            </w:r>
          </w:p>
        </w:tc>
        <w:tc>
          <w:tcPr>
            <w:tcW w:w="284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Geneva, Switzerland</w:t>
            </w:r>
          </w:p>
        </w:tc>
      </w:tr>
      <w:tr>
        <w:trPr/>
        <w:tc>
          <w:tcPr>
            <w:tcW w:w="271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Coolify (CH)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Container orchestration</w:t>
            </w:r>
          </w:p>
        </w:tc>
        <w:tc>
          <w:tcPr>
            <w:tcW w:w="284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Switzerland</w:t>
            </w:r>
          </w:p>
        </w:tc>
      </w:tr>
      <w:tr>
        <w:trPr/>
        <w:tc>
          <w:tcPr>
            <w:tcW w:w="271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Google Vertex AI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LLM (generation, extraction)</w:t>
            </w:r>
          </w:p>
        </w:tc>
        <w:tc>
          <w:tcPr>
            <w:tcW w:w="284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europe-west3 Frankfurt, DE</w:t>
            </w:r>
          </w:p>
        </w:tc>
      </w:tr>
      <w:tr>
        <w:trPr/>
        <w:tc>
          <w:tcPr>
            <w:tcW w:w="271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Google Vertex AI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Text embeddings</w:t>
            </w:r>
          </w:p>
        </w:tc>
        <w:tc>
          <w:tcPr>
            <w:tcW w:w="284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europe-west6 Zurich, CH</w:t>
            </w:r>
          </w:p>
        </w:tc>
      </w:tr>
      <w:tr>
        <w:trPr/>
        <w:tc>
          <w:tcPr>
            <w:tcW w:w="271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Google Vertex AI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Template generation (no PII)</w:t>
            </w:r>
          </w:p>
        </w:tc>
        <w:tc>
          <w:tcPr>
            <w:tcW w:w="284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global</w:t>
            </w:r>
          </w:p>
        </w:tc>
      </w:tr>
      <w:tr>
        <w:trPr/>
        <w:tc>
          <w:tcPr>
            <w:tcW w:w="271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Stripe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Billing, payments</w:t>
            </w:r>
          </w:p>
        </w:tc>
        <w:tc>
          <w:tcPr>
            <w:tcW w:w="284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USA (SCC)</w:t>
            </w:r>
          </w:p>
        </w:tc>
      </w:tr>
      <w:tr>
        <w:trPr/>
        <w:tc>
          <w:tcPr>
            <w:tcW w:w="271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Resend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Transactional email</w:t>
            </w:r>
          </w:p>
        </w:tc>
        <w:tc>
          <w:tcPr>
            <w:tcW w:w="284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USA (SCC)</w:t>
            </w:r>
          </w:p>
        </w:tc>
      </w:tr>
      <w:tr>
        <w:trPr/>
        <w:tc>
          <w:tcPr>
            <w:tcW w:w="271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Microsoft Azure (optional)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OCR (only if enabled)</w:t>
            </w:r>
          </w:p>
        </w:tc>
        <w:tc>
          <w:tcPr>
            <w:tcW w:w="284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EU</w:t>
            </w:r>
          </w:p>
        </w:tc>
      </w:tr>
    </w:tbl>
    <w:p>
      <w:pPr>
        <w:pStyle w:val="Heading2"/>
        <w:bidi w:val="0"/>
        <w:jc w:val="start"/>
        <w:rPr/>
      </w:pPr>
      <w:r>
        <w:rPr/>
        <w:t>Annex B — technical and organisational measures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Encryption in transit (TLS 1.2+) and at rest (AES-256, database).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Tenant isolation at application and (in preparation) database layer.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Multi-factor authentication for administrative access.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Daily database backups, 30-day retention, off-site encrypted.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Audit logs for security-relevant actions, retained ≥12 months.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Least-privilege access; separation of production and development environments.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Abuse mitigation: rate limits, account lockout, web-application firewall.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Security updates within 30 days of release; critical vulnerabilities immediately.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Privacy/security training for all staff with data access. </w:t>
      </w:r>
    </w:p>
    <w:p>
      <w:pPr>
        <w:pStyle w:val="BodyText"/>
        <w:bidi w:val="0"/>
        <w:spacing w:before="0" w:after="140"/>
        <w:jc w:val="start"/>
        <w:rPr/>
      </w:pPr>
      <w:r>
        <w:rPr/>
        <w:t xml:space="preserve">This DPA template is reviewed by Swiss legal counsel before contract signing. Questions? </w:t>
      </w:r>
      <w:hyperlink r:id="rId7">
        <w:r>
          <w:rPr>
            <w:rStyle w:val="Hyperlink"/>
          </w:rPr>
          <w:t>privacy@tecminds.ch</w:t>
        </w:r>
      </w:hyperlink>
      <w:r>
        <w:rPr/>
        <w:t xml:space="preserve">. </w:t>
      </w:r>
    </w:p>
    <w:sectPr>
      <w:type w:val="nextPage"/>
      <w:pgSz w:w="12240" w:h="15840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Songti SC" w:cs="Arial Unicode M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" TargetMode="External"/><Relationship Id="rId3" Type="http://schemas.openxmlformats.org/officeDocument/2006/relationships/hyperlink" Target="../../privacy" TargetMode="External"/><Relationship Id="rId4" Type="http://schemas.openxmlformats.org/officeDocument/2006/relationships/hyperlink" Target="../../legal/dpa-de.html" TargetMode="External"/><Relationship Id="rId5" Type="http://schemas.openxmlformats.org/officeDocument/2006/relationships/hyperlink" Target="../../legal/dpa-en.docx" TargetMode="External"/><Relationship Id="rId6" Type="http://schemas.openxmlformats.org/officeDocument/2006/relationships/hyperlink" Target="../../legal/dpa-en.pdf" TargetMode="External"/><Relationship Id="rId7" Type="http://schemas.openxmlformats.org/officeDocument/2006/relationships/hyperlink" Target="mailto:privacy@tecminds.ch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LibreOffice/26.2.2.2$MacOSX_AARCH64 LibreOffice_project/1f77d10d6938fd34972958f64b2bcfa54f8b1ba5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Data Processing Agreement (DPA) between the customer (controller) and TecMinds GmbH (processor) for the Wield platform.</dc:description>
  <dc:language>en-US</dc:language>
  <cp:lastModifiedBy/>
  <cp:revision>0</cp:revision>
  <dc:subject/>
  <dc:title>Data Processing Agreement (DPA) · Wield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robots">
    <vt:lpwstr>index, follow</vt:lpwstr>
  </property>
  <property fmtid="{D5CDD505-2E9C-101B-9397-08002B2CF9AE}" pid="4" name="viewport">
    <vt:lpwstr>width=device-width, initial-scale=1</vt:lpwstr>
  </property>
</Properties>
</file>